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BEC2" w14:textId="473FDF38" w:rsidR="00734426" w:rsidRDefault="00734426" w:rsidP="00734426">
      <w:pPr>
        <w:pStyle w:val="14-Normln-tun-velk"/>
        <w:jc w:val="center"/>
        <w:rPr>
          <w:rFonts w:cs="Calibri"/>
        </w:rPr>
      </w:pPr>
      <w:r w:rsidRPr="00734426">
        <w:rPr>
          <w:rFonts w:cs="Calibri"/>
        </w:rPr>
        <w:t xml:space="preserve">INFORMACE O ZPRACOVÁNÍ OSOBNÍCH ÚDAJŮ </w:t>
      </w:r>
    </w:p>
    <w:p w14:paraId="78633A36" w14:textId="77777777" w:rsidR="00FE389C" w:rsidRDefault="00FE389C" w:rsidP="00734426">
      <w:pPr>
        <w:pStyle w:val="14-Normln-tun-velk"/>
        <w:jc w:val="center"/>
        <w:rPr>
          <w:rFonts w:cs="Calibri"/>
        </w:rPr>
      </w:pPr>
    </w:p>
    <w:p w14:paraId="5E5E341E" w14:textId="119584EB" w:rsidR="00B35512" w:rsidRPr="00734426" w:rsidRDefault="00B35512" w:rsidP="00734426">
      <w:pPr>
        <w:pStyle w:val="14-Normln-tun-velk"/>
        <w:jc w:val="center"/>
        <w:rPr>
          <w:rFonts w:cs="Calibri"/>
        </w:rPr>
      </w:pPr>
      <w:r>
        <w:rPr>
          <w:rFonts w:cs="Calibri"/>
        </w:rPr>
        <w:t>V souvislosti s vydáním Dluhopisů</w:t>
      </w:r>
    </w:p>
    <w:p w14:paraId="4DE837B2" w14:textId="60AD83E6" w:rsidR="00B35512" w:rsidRDefault="00B35512" w:rsidP="00B35512">
      <w:pPr>
        <w:pStyle w:val="Prvniuroven"/>
        <w:rPr>
          <w:rFonts w:cs="Calibri"/>
          <w:szCs w:val="22"/>
          <w:lang w:val="cs-CZ"/>
        </w:rPr>
      </w:pPr>
      <w:r>
        <w:rPr>
          <w:rFonts w:cs="Calibri"/>
          <w:szCs w:val="22"/>
          <w:lang w:val="cs-CZ"/>
        </w:rPr>
        <w:t>účel dokumentu</w:t>
      </w:r>
    </w:p>
    <w:p w14:paraId="195DC413" w14:textId="688B9536"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w:t>
      </w:r>
      <w:r w:rsidRPr="00E0371C">
        <w:rPr>
          <w:rFonts w:cs="Calibri"/>
          <w:szCs w:val="22"/>
          <w:lang w:val="cs-CZ"/>
        </w:rPr>
        <w:t>rozsahu</w:t>
      </w:r>
      <w:r w:rsidRPr="00CA2538">
        <w:rPr>
          <w:rFonts w:cs="Calibri"/>
          <w:szCs w:val="22"/>
          <w:lang w:val="cs-CZ"/>
        </w:rPr>
        <w:t xml:space="preserve"> stanoveném v čl. 13 Nařízení Evropského parlamentu a Rady (EU) 2016/679 o ochraně fyzických osob v souvislosti se zpracováním osobních údajů a o volném pohybu těchto údajů a</w:t>
      </w:r>
      <w:r w:rsidR="00BA7D1A">
        <w:rPr>
          <w:rFonts w:cs="Calibri"/>
          <w:szCs w:val="22"/>
          <w:lang w:val="cs-CZ"/>
        </w:rPr>
        <w:t> </w:t>
      </w:r>
      <w:r w:rsidRPr="00CA2538">
        <w:rPr>
          <w:rFonts w:cs="Calibri"/>
          <w:szCs w:val="22"/>
          <w:lang w:val="cs-CZ"/>
        </w:rPr>
        <w:t>o</w:t>
      </w:r>
      <w:r w:rsidR="00BA7D1A">
        <w:rPr>
          <w:rFonts w:cs="Calibri"/>
          <w:szCs w:val="22"/>
          <w:lang w:val="cs-CZ"/>
        </w:rPr>
        <w:t> </w:t>
      </w:r>
      <w:r w:rsidRPr="00CA2538">
        <w:rPr>
          <w:rFonts w:cs="Calibri"/>
          <w:szCs w:val="22"/>
          <w:lang w:val="cs-CZ"/>
        </w:rPr>
        <w:t xml:space="preserve">zrušení směrnice 95/46/ES (obecné nařízení o ochraně osobních </w:t>
      </w:r>
      <w:proofErr w:type="gramStart"/>
      <w:r w:rsidRPr="00CA2538">
        <w:rPr>
          <w:rFonts w:cs="Calibri"/>
          <w:szCs w:val="22"/>
          <w:lang w:val="cs-CZ"/>
        </w:rPr>
        <w:t>údajů)  (</w:t>
      </w:r>
      <w:proofErr w:type="gramEnd"/>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r w:rsidR="00B35512">
        <w:rPr>
          <w:rFonts w:cs="Calibri"/>
          <w:szCs w:val="22"/>
          <w:lang w:val="cs-CZ"/>
        </w:rPr>
        <w:t>, a to v souvislosti s vlastnictvím dluhopisů vydaných správcem</w:t>
      </w:r>
      <w:r w:rsidRPr="00CA2538">
        <w:rPr>
          <w:rFonts w:cs="Calibri"/>
          <w:szCs w:val="22"/>
          <w:lang w:val="cs-CZ"/>
        </w:rPr>
        <w:t>.</w:t>
      </w:r>
    </w:p>
    <w:p w14:paraId="3D37B9A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7D2D1BB9" w14:textId="77777777" w:rsidR="00C45AF5" w:rsidRDefault="00C45AF5" w:rsidP="00C45AF5">
      <w:pPr>
        <w:pStyle w:val="uroven2"/>
        <w:rPr>
          <w:rFonts w:cs="Calibri"/>
          <w:szCs w:val="22"/>
          <w:lang w:val="cs-CZ"/>
        </w:rPr>
      </w:pPr>
      <w:r>
        <w:rPr>
          <w:rFonts w:cs="Calibri"/>
          <w:b/>
          <w:szCs w:val="22"/>
          <w:lang w:val="cs-CZ"/>
        </w:rPr>
        <w:t>SIG REALITY</w:t>
      </w:r>
      <w:r w:rsidRPr="00FC6988">
        <w:rPr>
          <w:rFonts w:cs="Calibri"/>
          <w:b/>
          <w:szCs w:val="22"/>
          <w:lang w:val="cs-CZ"/>
        </w:rPr>
        <w:t xml:space="preserve"> s.r.o.</w:t>
      </w:r>
      <w:r w:rsidRPr="002245A1">
        <w:rPr>
          <w:rFonts w:cs="Calibri"/>
          <w:szCs w:val="22"/>
          <w:lang w:val="cs-CZ"/>
        </w:rPr>
        <w:t xml:space="preserve">, identifikační číslo </w:t>
      </w:r>
      <w:r>
        <w:rPr>
          <w:rFonts w:cs="Calibri"/>
          <w:szCs w:val="22"/>
          <w:lang w:val="cs-CZ"/>
        </w:rPr>
        <w:t>198 20 941</w:t>
      </w:r>
      <w:r w:rsidRPr="002245A1">
        <w:rPr>
          <w:rFonts w:cs="Calibri"/>
          <w:szCs w:val="22"/>
          <w:lang w:val="cs-CZ"/>
        </w:rPr>
        <w:t xml:space="preserve">, se sídlem </w:t>
      </w:r>
      <w:r w:rsidRPr="00FC6988">
        <w:rPr>
          <w:rFonts w:cs="Calibri"/>
          <w:szCs w:val="22"/>
          <w:lang w:val="cs-CZ"/>
        </w:rPr>
        <w:t>Pražská 13/19, Liberec III-Jeřáb, 460 07 Liberec</w:t>
      </w:r>
      <w:r w:rsidRPr="002245A1">
        <w:rPr>
          <w:rFonts w:cs="Calibri"/>
          <w:szCs w:val="22"/>
          <w:lang w:val="cs-CZ"/>
        </w:rPr>
        <w:t xml:space="preserve">, zapsaná v obchodním rejstříku vedeném Krajským soudem </w:t>
      </w:r>
      <w:r>
        <w:rPr>
          <w:rFonts w:cs="Calibri"/>
          <w:szCs w:val="22"/>
          <w:lang w:val="cs-CZ"/>
        </w:rPr>
        <w:t xml:space="preserve">v Ústí </w:t>
      </w:r>
      <w:r w:rsidRPr="002245A1">
        <w:rPr>
          <w:rFonts w:cs="Calibri"/>
          <w:szCs w:val="22"/>
          <w:lang w:val="cs-CZ"/>
        </w:rPr>
        <w:t>nad Labem</w:t>
      </w:r>
      <w:r>
        <w:rPr>
          <w:rFonts w:cs="Calibri"/>
          <w:szCs w:val="22"/>
          <w:lang w:val="cs-CZ"/>
        </w:rPr>
        <w:t>, oddíl C, vložka 51183.</w:t>
      </w:r>
    </w:p>
    <w:p w14:paraId="38AD1A41" w14:textId="77777777" w:rsidR="00932356" w:rsidRDefault="00932356" w:rsidP="00932356">
      <w:pPr>
        <w:pStyle w:val="uroven2"/>
      </w:pPr>
      <w:r>
        <w:t>Kontaktní údaje správce: adresa pro doručování: Pražská 13/19, Liberec III-Jeřáb, 460 07 Liberec, e-mail:</w:t>
      </w:r>
      <w:r>
        <w:rPr>
          <w:rStyle w:val="Hypertextovodkaz"/>
          <w:rFonts w:cs="Calibri"/>
          <w:szCs w:val="22"/>
        </w:rPr>
        <w:t xml:space="preserve"> reality@sinvestgroup.cz</w:t>
      </w:r>
      <w:r>
        <w:t>, telefon +420 731 401 186.</w:t>
      </w:r>
    </w:p>
    <w:p w14:paraId="09AE9340"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0953ADAF"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6A3AC539"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BAD13D1" w14:textId="0AF27B1C"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4D4168">
        <w:rPr>
          <w:rFonts w:cs="Calibri"/>
          <w:szCs w:val="22"/>
          <w:lang w:val="cs-CZ" w:eastAsia="cs-CZ"/>
        </w:rPr>
        <w:t>příjmení, datum narození, bydliště</w:t>
      </w:r>
      <w:r w:rsidRPr="004321D9">
        <w:rPr>
          <w:rFonts w:cs="Calibri"/>
          <w:szCs w:val="22"/>
          <w:lang w:val="cs-CZ" w:eastAsia="cs-CZ"/>
        </w:rPr>
        <w:t>.</w:t>
      </w:r>
    </w:p>
    <w:p w14:paraId="69DE1948"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r w:rsidR="0030068E">
        <w:rPr>
          <w:rFonts w:cs="Calibri"/>
          <w:szCs w:val="22"/>
          <w:lang w:val="cs-CZ" w:eastAsia="cs-CZ"/>
        </w:rPr>
        <w:t>.</w:t>
      </w:r>
    </w:p>
    <w:p w14:paraId="087CCFC7" w14:textId="77777777" w:rsid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r w:rsidR="0030068E">
        <w:rPr>
          <w:rFonts w:cs="Calibri"/>
          <w:b/>
          <w:szCs w:val="22"/>
          <w:lang w:val="cs-CZ" w:eastAsia="cs-CZ"/>
        </w:rPr>
        <w:t>.</w:t>
      </w:r>
    </w:p>
    <w:p w14:paraId="6369BDF7" w14:textId="0B13CA7C" w:rsidR="00C728CA" w:rsidRDefault="00C728CA"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kopie průkazu totožnosti</w:t>
      </w:r>
    </w:p>
    <w:p w14:paraId="22F5B00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466FF0A3" w14:textId="072AB3BD"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25F63F4" w14:textId="17F7FB23" w:rsidR="00C368E1"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00B35512">
        <w:rPr>
          <w:rFonts w:cs="Calibri"/>
          <w:szCs w:val="22"/>
          <w:lang w:val="cs-CZ"/>
        </w:rPr>
        <w:t xml:space="preserve"> </w:t>
      </w:r>
      <w:r w:rsidRPr="00590EFC">
        <w:rPr>
          <w:rFonts w:cs="Calibri"/>
          <w:szCs w:val="22"/>
          <w:lang w:val="cs-CZ"/>
        </w:rPr>
        <w:t>ve smyslu čl. 6 odst. 1 písm. c) GDPR</w:t>
      </w:r>
      <w:r w:rsidR="00B35512">
        <w:rPr>
          <w:rFonts w:cs="Calibri"/>
          <w:szCs w:val="22"/>
          <w:lang w:val="cs-CZ"/>
        </w:rPr>
        <w:t>, které vyplývají zejména ze zákona č. 190/2004 Sb., o dluhopisech (např. vedení seznamu vlastníků dluhopisů vydaných správcem)</w:t>
      </w:r>
      <w:r w:rsidRPr="00590EFC">
        <w:rPr>
          <w:rFonts w:cs="Calibri"/>
          <w:szCs w:val="22"/>
          <w:lang w:val="cs-CZ"/>
        </w:rPr>
        <w:t xml:space="preserve">. </w:t>
      </w:r>
    </w:p>
    <w:p w14:paraId="208A2756" w14:textId="77777777" w:rsidR="00F03847" w:rsidRPr="006B0279" w:rsidRDefault="00F03847" w:rsidP="006B0279">
      <w:pPr>
        <w:pStyle w:val="uroven2"/>
      </w:pPr>
      <w:r>
        <w:t xml:space="preserve">V případě kopie průkazu totožnosti je zákonným důvodem zpracování Váš </w:t>
      </w:r>
      <w:r>
        <w:rPr>
          <w:b/>
        </w:rPr>
        <w:t>souhlas</w:t>
      </w:r>
      <w:r>
        <w:t xml:space="preserve"> s pořízením kopie </w:t>
      </w:r>
      <w:r>
        <w:rPr>
          <w:lang w:val="cs-CZ"/>
        </w:rPr>
        <w:t>průkazu</w:t>
      </w:r>
      <w:r>
        <w:t xml:space="preserve"> totožnosti daný správci.</w:t>
      </w:r>
      <w:r w:rsidRPr="006B0279">
        <w:t xml:space="preserve"> </w:t>
      </w:r>
    </w:p>
    <w:p w14:paraId="6F13E1B6"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68C7014B" w14:textId="616137DB"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w:t>
      </w:r>
      <w:r w:rsidR="00B35512">
        <w:rPr>
          <w:rFonts w:cs="Calibri"/>
          <w:szCs w:val="22"/>
          <w:lang w:val="cs-CZ"/>
        </w:rPr>
        <w:t>zákonných povinností v souvislosti s emisí dluhopisů správcem</w:t>
      </w:r>
      <w:r w:rsidRPr="004321D9">
        <w:rPr>
          <w:rFonts w:cs="Calibri"/>
          <w:szCs w:val="22"/>
          <w:lang w:val="cs-CZ"/>
        </w:rPr>
        <w:t>.</w:t>
      </w:r>
    </w:p>
    <w:p w14:paraId="358995F4"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7A4A8735"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1831E6BB" w14:textId="3B265D76"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w:t>
      </w:r>
      <w:r w:rsidR="00B35512">
        <w:rPr>
          <w:rFonts w:cs="Calibri"/>
          <w:szCs w:val="22"/>
          <w:lang w:val="cs-CZ"/>
        </w:rPr>
        <w:t xml:space="preserve">nezbytně nutnou </w:t>
      </w:r>
      <w:r w:rsidRPr="004321D9">
        <w:rPr>
          <w:rFonts w:cs="Calibri"/>
          <w:szCs w:val="22"/>
          <w:lang w:val="cs-CZ"/>
        </w:rPr>
        <w:t>podle příslušných obecně závazných právních předpisů.</w:t>
      </w:r>
    </w:p>
    <w:p w14:paraId="1EA520FA"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485A85B1" w14:textId="7737E3A8" w:rsidR="00734426" w:rsidRPr="00B35512" w:rsidRDefault="00734426" w:rsidP="00FE0482">
      <w:pPr>
        <w:pStyle w:val="uroven2"/>
        <w:rPr>
          <w:rFonts w:cs="Calibri"/>
          <w:szCs w:val="22"/>
          <w:lang w:val="cs-CZ"/>
        </w:rPr>
      </w:pPr>
      <w:r w:rsidRPr="00B35512">
        <w:rPr>
          <w:rFonts w:cs="Calibri"/>
          <w:szCs w:val="22"/>
          <w:lang w:val="cs-CZ"/>
        </w:rPr>
        <w:t>Správce může dále předávat osobní údaje třetím stranám, pokud to vyplývá z právních předpisů nebo z povahy smlu</w:t>
      </w:r>
      <w:r w:rsidR="00B35512">
        <w:rPr>
          <w:rFonts w:cs="Calibri"/>
          <w:szCs w:val="22"/>
          <w:lang w:val="cs-CZ"/>
        </w:rPr>
        <w:t xml:space="preserve">vního vztahu, kterými mohou být </w:t>
      </w:r>
      <w:r w:rsidRPr="00B35512">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53C7BFAD" w14:textId="6611C9F3"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w:t>
      </w:r>
      <w:r w:rsidR="00B35512">
        <w:rPr>
          <w:rFonts w:cs="Calibri"/>
          <w:szCs w:val="22"/>
          <w:lang w:val="cs-CZ"/>
        </w:rPr>
        <w:t xml:space="preserve"> se správcem, kterými mohou být např. </w:t>
      </w:r>
    </w:p>
    <w:p w14:paraId="7A9E74ED"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w:t>
      </w:r>
    </w:p>
    <w:p w14:paraId="7B049ED2"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7B4DD6EC"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743B06A7"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177B3CAA"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6DD3134E"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598977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9F77B15"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0639C01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708A84DF"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0D18556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na </w:t>
      </w:r>
      <w:r w:rsidRPr="00BE0DA9">
        <w:rPr>
          <w:rFonts w:cs="Calibri"/>
          <w:b/>
          <w:szCs w:val="22"/>
        </w:rPr>
        <w:t>přenositelnost</w:t>
      </w:r>
      <w:r w:rsidRPr="00BE0DA9">
        <w:rPr>
          <w:rFonts w:cs="Calibri"/>
          <w:szCs w:val="22"/>
        </w:rPr>
        <w:t xml:space="preserve"> Vašich osobních údajů, </w:t>
      </w:r>
    </w:p>
    <w:p w14:paraId="79910397"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00520544"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65A0B600"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204AD40B" w14:textId="77777777" w:rsidR="00C45AF5" w:rsidRPr="00811D2A" w:rsidRDefault="00C45AF5" w:rsidP="00C45AF5">
      <w:pPr>
        <w:pStyle w:val="Prvniuroven"/>
        <w:numPr>
          <w:ilvl w:val="0"/>
          <w:numId w:val="0"/>
        </w:numPr>
        <w:ind w:left="397"/>
        <w:rPr>
          <w:b w:val="0"/>
        </w:rPr>
      </w:pPr>
      <w:r w:rsidRPr="00811D2A">
        <w:rPr>
          <w:b w:val="0"/>
        </w:rPr>
        <w:t xml:space="preserve">V Liberci dne </w:t>
      </w:r>
    </w:p>
    <w:p w14:paraId="71B5675C" w14:textId="77777777" w:rsidR="00C45AF5" w:rsidRDefault="00C45AF5" w:rsidP="00C45AF5">
      <w:pPr>
        <w:pStyle w:val="uroven2"/>
        <w:numPr>
          <w:ilvl w:val="0"/>
          <w:numId w:val="0"/>
        </w:numPr>
        <w:spacing w:before="0" w:after="120" w:line="240" w:lineRule="auto"/>
        <w:ind w:left="907" w:hanging="547"/>
        <w:rPr>
          <w:rFonts w:cs="Calibri"/>
          <w:b/>
          <w:szCs w:val="22"/>
          <w:lang w:val="cs-CZ"/>
        </w:rPr>
      </w:pPr>
    </w:p>
    <w:p w14:paraId="574B2B8F" w14:textId="77777777" w:rsidR="00C45AF5" w:rsidRDefault="00C45AF5" w:rsidP="00C45AF5">
      <w:pPr>
        <w:pStyle w:val="uroven2"/>
        <w:numPr>
          <w:ilvl w:val="0"/>
          <w:numId w:val="0"/>
        </w:numPr>
        <w:spacing w:before="0" w:after="120" w:line="240" w:lineRule="auto"/>
        <w:ind w:left="907" w:hanging="547"/>
        <w:rPr>
          <w:rFonts w:cs="Calibri"/>
          <w:b/>
          <w:szCs w:val="22"/>
          <w:lang w:val="cs-CZ"/>
        </w:rPr>
      </w:pPr>
      <w:r>
        <w:rPr>
          <w:rFonts w:cs="Calibri"/>
          <w:b/>
          <w:szCs w:val="22"/>
          <w:lang w:val="cs-CZ"/>
        </w:rPr>
        <w:t>SIG REALITY</w:t>
      </w:r>
      <w:r w:rsidRPr="00FC6988">
        <w:rPr>
          <w:rFonts w:cs="Calibri"/>
          <w:b/>
          <w:szCs w:val="22"/>
          <w:lang w:val="cs-CZ"/>
        </w:rPr>
        <w:t xml:space="preserve"> s.r.o.</w:t>
      </w:r>
      <w:r>
        <w:rPr>
          <w:rFonts w:cs="Calibri"/>
          <w:b/>
          <w:szCs w:val="22"/>
          <w:lang w:val="cs-CZ"/>
        </w:rPr>
        <w:tab/>
      </w:r>
      <w:r>
        <w:rPr>
          <w:rFonts w:cs="Calibri"/>
          <w:b/>
          <w:szCs w:val="22"/>
          <w:lang w:val="cs-CZ"/>
        </w:rPr>
        <w:tab/>
      </w:r>
      <w:r>
        <w:rPr>
          <w:rFonts w:cs="Calibri"/>
          <w:b/>
          <w:szCs w:val="22"/>
          <w:lang w:val="cs-CZ"/>
        </w:rPr>
        <w:tab/>
      </w:r>
      <w:r>
        <w:rPr>
          <w:rFonts w:cs="Calibri"/>
          <w:b/>
          <w:szCs w:val="22"/>
          <w:lang w:val="cs-CZ"/>
        </w:rPr>
        <w:tab/>
      </w:r>
      <w:r>
        <w:rPr>
          <w:rFonts w:cs="Calibri"/>
          <w:b/>
          <w:szCs w:val="22"/>
          <w:lang w:val="cs-CZ"/>
        </w:rPr>
        <w:tab/>
      </w:r>
    </w:p>
    <w:p w14:paraId="79D2DF98" w14:textId="77777777" w:rsidR="00C45AF5" w:rsidRDefault="00C45AF5" w:rsidP="00C45AF5">
      <w:pPr>
        <w:pStyle w:val="uroven2"/>
        <w:numPr>
          <w:ilvl w:val="0"/>
          <w:numId w:val="0"/>
        </w:numPr>
        <w:spacing w:before="0" w:after="120" w:line="240" w:lineRule="auto"/>
        <w:ind w:left="907" w:hanging="547"/>
        <w:rPr>
          <w:rFonts w:cs="Calibri"/>
          <w:szCs w:val="22"/>
          <w:lang w:val="cs-CZ"/>
        </w:rPr>
      </w:pPr>
    </w:p>
    <w:p w14:paraId="6C7359D9" w14:textId="77777777" w:rsidR="00C45AF5" w:rsidRPr="00F857A8" w:rsidRDefault="00C45AF5" w:rsidP="00A068DE">
      <w:pPr>
        <w:pStyle w:val="uroven2"/>
        <w:numPr>
          <w:ilvl w:val="0"/>
          <w:numId w:val="0"/>
        </w:numPr>
        <w:spacing w:before="0" w:after="120" w:line="240" w:lineRule="auto"/>
        <w:ind w:left="907" w:hanging="547"/>
        <w:rPr>
          <w:rFonts w:cs="Calibri"/>
          <w:szCs w:val="22"/>
          <w:lang w:val="cs-CZ"/>
        </w:rPr>
      </w:pPr>
    </w:p>
    <w:sectPr w:rsidR="00C45AF5"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3BDA" w14:textId="77777777" w:rsidR="00C13190" w:rsidRDefault="00C13190">
      <w:r>
        <w:separator/>
      </w:r>
    </w:p>
  </w:endnote>
  <w:endnote w:type="continuationSeparator" w:id="0">
    <w:p w14:paraId="66CD2910" w14:textId="77777777" w:rsidR="00C13190" w:rsidRDefault="00C13190">
      <w:r>
        <w:continuationSeparator/>
      </w:r>
    </w:p>
  </w:endnote>
  <w:endnote w:type="continuationNotice" w:id="1">
    <w:p w14:paraId="7C57BED0" w14:textId="77777777" w:rsidR="00C13190" w:rsidRDefault="00C131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C4D9" w14:textId="77777777" w:rsidR="00D24048" w:rsidRPr="006B0279" w:rsidRDefault="00F857A8" w:rsidP="00F4660D">
    <w:pPr>
      <w:pStyle w:val="Zpat"/>
      <w:rPr>
        <w:b/>
        <w:sz w:val="16"/>
      </w:rPr>
    </w:pPr>
    <w:r>
      <w:rPr>
        <w:rFonts w:cs="Calibri"/>
        <w:sz w:val="16"/>
        <w:szCs w:val="16"/>
      </w:rPr>
      <w:t>Verze 25.5.2018</w:t>
    </w:r>
    <w:proofErr w:type="gramStart"/>
    <w:r>
      <w:rPr>
        <w:rFonts w:cs="Calibri"/>
        <w:sz w:val="16"/>
        <w:szCs w:val="16"/>
      </w:rPr>
      <w:tab/>
    </w:r>
    <w:r w:rsidR="00816236">
      <w:rPr>
        <w:rFonts w:cs="Calibri"/>
        <w:sz w:val="16"/>
        <w:szCs w:val="16"/>
      </w:rPr>
      <w:t xml:space="preserve">  </w:t>
    </w:r>
    <w:r>
      <w:rPr>
        <w:rFonts w:cs="Calibri"/>
        <w:sz w:val="16"/>
        <w:szCs w:val="16"/>
      </w:rPr>
      <w:tab/>
    </w:r>
    <w:proofErr w:type="gramEnd"/>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ED205D">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ED205D">
      <w:rPr>
        <w:rFonts w:cs="Calibri"/>
        <w:b/>
        <w:bCs/>
        <w:noProof/>
        <w:sz w:val="16"/>
        <w:szCs w:val="16"/>
      </w:rPr>
      <w:t>3</w:t>
    </w:r>
    <w:r w:rsidR="00D24048" w:rsidRPr="00D24048">
      <w:rPr>
        <w:rFonts w:cs="Calibri"/>
        <w:b/>
        <w:bCs/>
        <w:sz w:val="16"/>
        <w:szCs w:val="16"/>
      </w:rPr>
      <w:fldChar w:fldCharType="end"/>
    </w:r>
  </w:p>
  <w:p w14:paraId="749BB73C" w14:textId="45E3F7B1" w:rsidR="00816236" w:rsidRPr="006B0279" w:rsidRDefault="00816236" w:rsidP="00816236">
    <w:pPr>
      <w:pStyle w:val="Zpat"/>
      <w:rPr>
        <w:sz w:val="16"/>
      </w:rPr>
    </w:pPr>
    <w:r>
      <w:rPr>
        <w:sz w:val="16"/>
        <w:szCs w:val="16"/>
      </w:rPr>
      <w:t xml:space="preserve">Informace o zpracování osobních údajů dle čl. 13 GDPR – </w:t>
    </w:r>
    <w:r w:rsidR="00B35512">
      <w:rPr>
        <w:sz w:val="16"/>
        <w:szCs w:val="16"/>
      </w:rPr>
      <w:t>vlastníci dluhopisů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CDF7" w14:textId="77777777" w:rsidR="00C13190" w:rsidRDefault="00C13190">
      <w:r>
        <w:separator/>
      </w:r>
    </w:p>
  </w:footnote>
  <w:footnote w:type="continuationSeparator" w:id="0">
    <w:p w14:paraId="3FB51F45" w14:textId="77777777" w:rsidR="00C13190" w:rsidRDefault="00C13190">
      <w:r>
        <w:continuationSeparator/>
      </w:r>
    </w:p>
  </w:footnote>
  <w:footnote w:type="continuationNotice" w:id="1">
    <w:p w14:paraId="3FE03375" w14:textId="77777777" w:rsidR="00C13190" w:rsidRDefault="00C131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752" w14:textId="77777777" w:rsidR="002A5F71" w:rsidRDefault="002A5F71" w:rsidP="002A5F71">
    <w:pPr>
      <w:pStyle w:val="Zhlav"/>
    </w:pPr>
  </w:p>
  <w:p w14:paraId="61167F7E"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9741253">
    <w:abstractNumId w:val="10"/>
  </w:num>
  <w:num w:numId="2" w16cid:durableId="1107701767">
    <w:abstractNumId w:val="8"/>
  </w:num>
  <w:num w:numId="3" w16cid:durableId="184907951">
    <w:abstractNumId w:val="8"/>
  </w:num>
  <w:num w:numId="4" w16cid:durableId="1553882945">
    <w:abstractNumId w:val="11"/>
  </w:num>
  <w:num w:numId="5" w16cid:durableId="341710180">
    <w:abstractNumId w:val="11"/>
  </w:num>
  <w:num w:numId="6" w16cid:durableId="1250113207">
    <w:abstractNumId w:val="11"/>
  </w:num>
  <w:num w:numId="7" w16cid:durableId="1033727597">
    <w:abstractNumId w:val="16"/>
  </w:num>
  <w:num w:numId="8" w16cid:durableId="795098688">
    <w:abstractNumId w:val="17"/>
  </w:num>
  <w:num w:numId="9" w16cid:durableId="1799105132">
    <w:abstractNumId w:val="1"/>
  </w:num>
  <w:num w:numId="10" w16cid:durableId="143856519">
    <w:abstractNumId w:val="0"/>
  </w:num>
  <w:num w:numId="11" w16cid:durableId="564995188">
    <w:abstractNumId w:val="14"/>
  </w:num>
  <w:num w:numId="12" w16cid:durableId="454829336">
    <w:abstractNumId w:val="3"/>
  </w:num>
  <w:num w:numId="13" w16cid:durableId="1211108913">
    <w:abstractNumId w:val="2"/>
  </w:num>
  <w:num w:numId="14" w16cid:durableId="83579580">
    <w:abstractNumId w:val="9"/>
  </w:num>
  <w:num w:numId="15" w16cid:durableId="73162903">
    <w:abstractNumId w:val="7"/>
  </w:num>
  <w:num w:numId="16" w16cid:durableId="900213472">
    <w:abstractNumId w:val="6"/>
  </w:num>
  <w:num w:numId="17" w16cid:durableId="174148289">
    <w:abstractNumId w:val="5"/>
  </w:num>
  <w:num w:numId="18" w16cid:durableId="1324817160">
    <w:abstractNumId w:val="4"/>
  </w:num>
  <w:num w:numId="19" w16cid:durableId="849946937">
    <w:abstractNumId w:val="20"/>
  </w:num>
  <w:num w:numId="20" w16cid:durableId="1708291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0295207">
    <w:abstractNumId w:val="11"/>
  </w:num>
  <w:num w:numId="22" w16cid:durableId="116543280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182372">
    <w:abstractNumId w:val="13"/>
  </w:num>
  <w:num w:numId="24" w16cid:durableId="60058189">
    <w:abstractNumId w:val="19"/>
  </w:num>
  <w:num w:numId="25" w16cid:durableId="1560243773">
    <w:abstractNumId w:val="12"/>
  </w:num>
  <w:num w:numId="26" w16cid:durableId="1084952646">
    <w:abstractNumId w:val="11"/>
  </w:num>
  <w:num w:numId="27" w16cid:durableId="1485387267">
    <w:abstractNumId w:val="11"/>
  </w:num>
  <w:num w:numId="28" w16cid:durableId="322318481">
    <w:abstractNumId w:val="11"/>
  </w:num>
  <w:num w:numId="29" w16cid:durableId="955990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725343">
    <w:abstractNumId w:val="11"/>
  </w:num>
  <w:num w:numId="31" w16cid:durableId="1157109468">
    <w:abstractNumId w:val="11"/>
  </w:num>
  <w:num w:numId="32" w16cid:durableId="1639527126">
    <w:abstractNumId w:val="11"/>
  </w:num>
  <w:num w:numId="33" w16cid:durableId="34159602">
    <w:abstractNumId w:val="15"/>
  </w:num>
  <w:num w:numId="34" w16cid:durableId="552735886">
    <w:abstractNumId w:val="11"/>
  </w:num>
  <w:num w:numId="35" w16cid:durableId="1693262208">
    <w:abstractNumId w:val="11"/>
  </w:num>
  <w:num w:numId="36" w16cid:durableId="2015836945">
    <w:abstractNumId w:val="11"/>
  </w:num>
  <w:num w:numId="37" w16cid:durableId="327907653">
    <w:abstractNumId w:val="11"/>
  </w:num>
  <w:num w:numId="38" w16cid:durableId="1648822488">
    <w:abstractNumId w:val="11"/>
  </w:num>
  <w:num w:numId="39" w16cid:durableId="784156383">
    <w:abstractNumId w:val="11"/>
  </w:num>
  <w:num w:numId="40" w16cid:durableId="830559978">
    <w:abstractNumId w:val="11"/>
  </w:num>
  <w:num w:numId="41" w16cid:durableId="394355783">
    <w:abstractNumId w:val="11"/>
  </w:num>
  <w:num w:numId="42" w16cid:durableId="1371567507">
    <w:abstractNumId w:val="18"/>
  </w:num>
  <w:num w:numId="43" w16cid:durableId="278728393">
    <w:abstractNumId w:val="11"/>
  </w:num>
  <w:num w:numId="44" w16cid:durableId="891891969">
    <w:abstractNumId w:val="11"/>
  </w:num>
  <w:num w:numId="45" w16cid:durableId="184561700">
    <w:abstractNumId w:val="11"/>
  </w:num>
  <w:num w:numId="46" w16cid:durableId="124474782">
    <w:abstractNumId w:val="11"/>
  </w:num>
  <w:num w:numId="47" w16cid:durableId="1884243778">
    <w:abstractNumId w:val="11"/>
  </w:num>
  <w:num w:numId="48" w16cid:durableId="769275402">
    <w:abstractNumId w:val="11"/>
  </w:num>
  <w:num w:numId="49" w16cid:durableId="1649091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0068E"/>
    <w:rsid w:val="00310853"/>
    <w:rsid w:val="003231E4"/>
    <w:rsid w:val="003263B9"/>
    <w:rsid w:val="003303E2"/>
    <w:rsid w:val="00336B51"/>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21BBE"/>
    <w:rsid w:val="00424AB2"/>
    <w:rsid w:val="00436B13"/>
    <w:rsid w:val="004469F6"/>
    <w:rsid w:val="00455203"/>
    <w:rsid w:val="00474657"/>
    <w:rsid w:val="004825F5"/>
    <w:rsid w:val="00485E2C"/>
    <w:rsid w:val="00490EE3"/>
    <w:rsid w:val="004A0431"/>
    <w:rsid w:val="004C066C"/>
    <w:rsid w:val="004C46EA"/>
    <w:rsid w:val="004D25C6"/>
    <w:rsid w:val="004D4168"/>
    <w:rsid w:val="004E27E8"/>
    <w:rsid w:val="004E73DB"/>
    <w:rsid w:val="004F3267"/>
    <w:rsid w:val="00540B04"/>
    <w:rsid w:val="005426B6"/>
    <w:rsid w:val="00553AB2"/>
    <w:rsid w:val="005606ED"/>
    <w:rsid w:val="0059141B"/>
    <w:rsid w:val="00594D95"/>
    <w:rsid w:val="00595E06"/>
    <w:rsid w:val="005A10C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0279"/>
    <w:rsid w:val="006B2717"/>
    <w:rsid w:val="006B3C9F"/>
    <w:rsid w:val="006C0A10"/>
    <w:rsid w:val="006C2FEC"/>
    <w:rsid w:val="006D7340"/>
    <w:rsid w:val="006E5764"/>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6236"/>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27B7D"/>
    <w:rsid w:val="00932356"/>
    <w:rsid w:val="00937E0D"/>
    <w:rsid w:val="00941E01"/>
    <w:rsid w:val="00943496"/>
    <w:rsid w:val="009601C1"/>
    <w:rsid w:val="00970662"/>
    <w:rsid w:val="0097157A"/>
    <w:rsid w:val="009A648F"/>
    <w:rsid w:val="009C0FD6"/>
    <w:rsid w:val="009C4EC0"/>
    <w:rsid w:val="009C6464"/>
    <w:rsid w:val="009D2F7B"/>
    <w:rsid w:val="009D3D13"/>
    <w:rsid w:val="009E134D"/>
    <w:rsid w:val="00A01CCE"/>
    <w:rsid w:val="00A05E84"/>
    <w:rsid w:val="00A068DE"/>
    <w:rsid w:val="00A200C5"/>
    <w:rsid w:val="00A3505C"/>
    <w:rsid w:val="00A56FE6"/>
    <w:rsid w:val="00A75422"/>
    <w:rsid w:val="00A75948"/>
    <w:rsid w:val="00A7607B"/>
    <w:rsid w:val="00A8130F"/>
    <w:rsid w:val="00AB10E9"/>
    <w:rsid w:val="00AF6DD4"/>
    <w:rsid w:val="00B10F9F"/>
    <w:rsid w:val="00B11F6C"/>
    <w:rsid w:val="00B1744C"/>
    <w:rsid w:val="00B17958"/>
    <w:rsid w:val="00B2536C"/>
    <w:rsid w:val="00B275B2"/>
    <w:rsid w:val="00B35512"/>
    <w:rsid w:val="00B5053A"/>
    <w:rsid w:val="00B65B54"/>
    <w:rsid w:val="00B71008"/>
    <w:rsid w:val="00B75677"/>
    <w:rsid w:val="00B94BA0"/>
    <w:rsid w:val="00BA7D1A"/>
    <w:rsid w:val="00BB2AFA"/>
    <w:rsid w:val="00BC705D"/>
    <w:rsid w:val="00BD4389"/>
    <w:rsid w:val="00BE0DA9"/>
    <w:rsid w:val="00BF07C0"/>
    <w:rsid w:val="00BF2A3D"/>
    <w:rsid w:val="00C055B3"/>
    <w:rsid w:val="00C06674"/>
    <w:rsid w:val="00C13190"/>
    <w:rsid w:val="00C33F3D"/>
    <w:rsid w:val="00C368E1"/>
    <w:rsid w:val="00C44785"/>
    <w:rsid w:val="00C44ACA"/>
    <w:rsid w:val="00C45AF5"/>
    <w:rsid w:val="00C45E86"/>
    <w:rsid w:val="00C477A2"/>
    <w:rsid w:val="00C511FE"/>
    <w:rsid w:val="00C60FA2"/>
    <w:rsid w:val="00C61BA7"/>
    <w:rsid w:val="00C63E6E"/>
    <w:rsid w:val="00C728CA"/>
    <w:rsid w:val="00C84BD6"/>
    <w:rsid w:val="00C86B5D"/>
    <w:rsid w:val="00C8754E"/>
    <w:rsid w:val="00C95B4F"/>
    <w:rsid w:val="00CA2538"/>
    <w:rsid w:val="00CA30D9"/>
    <w:rsid w:val="00CB2D2A"/>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0371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205D"/>
    <w:rsid w:val="00ED6FB1"/>
    <w:rsid w:val="00EE1E79"/>
    <w:rsid w:val="00EE3AA3"/>
    <w:rsid w:val="00EE7248"/>
    <w:rsid w:val="00EF63F4"/>
    <w:rsid w:val="00F03847"/>
    <w:rsid w:val="00F11990"/>
    <w:rsid w:val="00F23045"/>
    <w:rsid w:val="00F3208C"/>
    <w:rsid w:val="00F35867"/>
    <w:rsid w:val="00F4660D"/>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E389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290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0398134">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688483200">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527616">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sChild>
        <w:div w:id="1227691508">
          <w:marLeft w:val="0"/>
          <w:marRight w:val="0"/>
          <w:marTop w:val="0"/>
          <w:marBottom w:val="0"/>
          <w:divBdr>
            <w:top w:val="none" w:sz="0" w:space="0" w:color="auto"/>
            <w:left w:val="none" w:sz="0" w:space="0" w:color="auto"/>
            <w:bottom w:val="none" w:sz="0" w:space="0" w:color="auto"/>
            <w:right w:val="none" w:sz="0" w:space="0" w:color="auto"/>
          </w:divBdr>
          <w:divsChild>
            <w:div w:id="235289586">
              <w:marLeft w:val="0"/>
              <w:marRight w:val="0"/>
              <w:marTop w:val="0"/>
              <w:marBottom w:val="0"/>
              <w:divBdr>
                <w:top w:val="none" w:sz="0" w:space="0" w:color="auto"/>
                <w:left w:val="none" w:sz="0" w:space="0" w:color="auto"/>
                <w:bottom w:val="none" w:sz="0" w:space="0" w:color="auto"/>
                <w:right w:val="none" w:sz="0" w:space="0" w:color="auto"/>
              </w:divBdr>
              <w:divsChild>
                <w:div w:id="1787769643">
                  <w:marLeft w:val="0"/>
                  <w:marRight w:val="0"/>
                  <w:marTop w:val="0"/>
                  <w:marBottom w:val="0"/>
                  <w:divBdr>
                    <w:top w:val="none" w:sz="0" w:space="0" w:color="auto"/>
                    <w:left w:val="none" w:sz="0" w:space="0" w:color="auto"/>
                    <w:bottom w:val="none" w:sz="0" w:space="0" w:color="auto"/>
                    <w:right w:val="none" w:sz="0" w:space="0" w:color="auto"/>
                  </w:divBdr>
                  <w:divsChild>
                    <w:div w:id="1505169455">
                      <w:marLeft w:val="0"/>
                      <w:marRight w:val="0"/>
                      <w:marTop w:val="0"/>
                      <w:marBottom w:val="0"/>
                      <w:divBdr>
                        <w:top w:val="none" w:sz="0" w:space="0" w:color="auto"/>
                        <w:left w:val="none" w:sz="0" w:space="0" w:color="auto"/>
                        <w:bottom w:val="none" w:sz="0" w:space="0" w:color="auto"/>
                        <w:right w:val="none" w:sz="0" w:space="0" w:color="auto"/>
                      </w:divBdr>
                      <w:divsChild>
                        <w:div w:id="456337326">
                          <w:marLeft w:val="0"/>
                          <w:marRight w:val="0"/>
                          <w:marTop w:val="0"/>
                          <w:marBottom w:val="0"/>
                          <w:divBdr>
                            <w:top w:val="none" w:sz="0" w:space="0" w:color="auto"/>
                            <w:left w:val="none" w:sz="0" w:space="0" w:color="auto"/>
                            <w:bottom w:val="none" w:sz="0" w:space="0" w:color="auto"/>
                            <w:right w:val="none" w:sz="0" w:space="0" w:color="auto"/>
                          </w:divBdr>
                          <w:divsChild>
                            <w:div w:id="751390820">
                              <w:marLeft w:val="0"/>
                              <w:marRight w:val="0"/>
                              <w:marTop w:val="0"/>
                              <w:marBottom w:val="0"/>
                              <w:divBdr>
                                <w:top w:val="none" w:sz="0" w:space="0" w:color="auto"/>
                                <w:left w:val="none" w:sz="0" w:space="0" w:color="auto"/>
                                <w:bottom w:val="none" w:sz="0" w:space="0" w:color="auto"/>
                                <w:right w:val="none" w:sz="0" w:space="0" w:color="auto"/>
                              </w:divBdr>
                              <w:divsChild>
                                <w:div w:id="1714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2024-03-15T10:24:00Z</dcterms:created>
  <dcterms:modified xsi:type="dcterms:W3CDTF">2024-03-15T10:24:00Z</dcterms:modified>
</cp:coreProperties>
</file>